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附件4</w:t>
      </w:r>
    </w:p>
    <w:p>
      <w:pPr>
        <w:spacing w:line="594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pacing w:line="594" w:lineRule="exact"/>
        <w:jc w:val="center"/>
        <w:rPr>
          <w:rFonts w:hint="eastAsia" w:eastAsia="方正小标宋_GBK"/>
          <w:b/>
          <w:bCs/>
          <w:sz w:val="44"/>
          <w:szCs w:val="44"/>
        </w:rPr>
      </w:pPr>
      <w:r>
        <w:rPr>
          <w:rFonts w:eastAsia="方正小标宋_GBK"/>
          <w:b/>
          <w:bCs/>
          <w:sz w:val="44"/>
          <w:szCs w:val="44"/>
        </w:rPr>
        <w:t>2021年编辑工作目标考核实施细则</w:t>
      </w:r>
    </w:p>
    <w:p>
      <w:pPr>
        <w:spacing w:line="594" w:lineRule="exact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为进一步落实编辑部门编辑工作主体责任，完善编辑工作目标考核机制，提高校（院）期刊质量、编校质量，根据校（院）《202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/>
          <w:color w:val="000000"/>
          <w:sz w:val="32"/>
          <w:szCs w:val="32"/>
        </w:rPr>
        <w:t>年校（院）各部门目标管理绩效考核方案》，制定本细则。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第一条  考核对象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探索编辑部、重庆行政编辑部。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第二条  考核原则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编辑部门的编辑工作考核，以落实编辑职能绩效目标工作主体责任，提高校（院）期刊质量、编校质量为原则。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第三条  考核方式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突出结果导向和业绩导向，对编辑工作目标完成情况按照年终核算的方式进行。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第四条  考核指标</w:t>
      </w: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编辑任务基本工作分值为40分。各编辑部应在一个年度的出版周期内坚持正确政治方向、完成编辑基本工作任务和期刊出版任务。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（一）通用加分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获得省部级期刊类奖励，加5分。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经重庆市行业主管部门或重庆市期刊协会考核获评一级期刊称号，加2分。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3．</w:t>
      </w:r>
      <w:r>
        <w:rPr>
          <w:rFonts w:eastAsia="方正仿宋_GBK"/>
          <w:color w:val="000000"/>
          <w:sz w:val="32"/>
          <w:szCs w:val="32"/>
        </w:rPr>
        <w:t>重庆市行业主管部门或重庆市期刊协会社会效益评价，优秀加2分，良好加1分。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4．</w:t>
      </w:r>
      <w:r>
        <w:rPr>
          <w:rFonts w:eastAsia="方正仿宋_GBK"/>
          <w:color w:val="000000"/>
          <w:sz w:val="32"/>
          <w:szCs w:val="32"/>
        </w:rPr>
        <w:t>获得重庆市行业主管部门或重庆市期刊协会评选的优秀编辑奖、优秀社长（总编）奖，加2分/人次。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5．</w:t>
      </w:r>
      <w:r>
        <w:rPr>
          <w:rFonts w:eastAsia="方正仿宋_GBK"/>
          <w:color w:val="000000"/>
          <w:sz w:val="32"/>
          <w:szCs w:val="32"/>
        </w:rPr>
        <w:t>全市期刊综合质量考核结果编校差错率在万分之0.5以内的，加4分。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6．</w:t>
      </w:r>
      <w:r>
        <w:rPr>
          <w:rFonts w:eastAsia="方正仿宋_GBK"/>
          <w:color w:val="000000"/>
          <w:sz w:val="32"/>
          <w:szCs w:val="32"/>
        </w:rPr>
        <w:t>全市期刊综合质量考核结果编校差错率在万分之1以内的，加3分。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7．</w:t>
      </w:r>
      <w:r>
        <w:rPr>
          <w:rFonts w:eastAsia="方正仿宋_GBK"/>
          <w:color w:val="000000"/>
          <w:sz w:val="32"/>
          <w:szCs w:val="32"/>
        </w:rPr>
        <w:t>重庆市行业主管部门或重庆市期刊协会评奖，一等奖加2分/人次，二等奖加1.5分/人次，三等奖加1分/人次。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8．</w:t>
      </w:r>
      <w:r>
        <w:rPr>
          <w:rFonts w:eastAsia="方正仿宋_GBK"/>
          <w:color w:val="000000"/>
          <w:sz w:val="32"/>
          <w:szCs w:val="32"/>
        </w:rPr>
        <w:t>重庆市高校期刊研究会评奖，一等奖加1.5分/人次，二等奖加1分/人次，三等奖加0.5分/人次。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9．</w:t>
      </w:r>
      <w:r>
        <w:rPr>
          <w:rFonts w:eastAsia="方正仿宋_GBK"/>
          <w:color w:val="000000"/>
          <w:sz w:val="32"/>
          <w:szCs w:val="32"/>
        </w:rPr>
        <w:t>重庆市科技期刊协会评奖，一等奖加1.5分/人次，二等奖加1分/人次，三等奖加0.5分/人次。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10．</w:t>
      </w:r>
      <w:r>
        <w:rPr>
          <w:rFonts w:eastAsia="方正仿宋_GBK"/>
          <w:color w:val="000000"/>
          <w:sz w:val="32"/>
          <w:szCs w:val="32"/>
        </w:rPr>
        <w:t>刊发省部级领导或教育部长江学者特聘教授文章加1分/篇，累计不超过2分。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（二）探索编辑部工作加分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入选CSSCI来源期刊加1.5分。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全国四大学术文摘转载加分：《新华文摘》《中国社会科学文摘》《高等学校文科学报文摘》、中国人民大学复印报刊资料全文转载或论点摘编15篇以上加2分、10篇以上加1.5分。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3．</w:t>
      </w:r>
      <w:r>
        <w:rPr>
          <w:rFonts w:eastAsia="方正仿宋_GBK"/>
          <w:color w:val="000000"/>
          <w:sz w:val="32"/>
          <w:szCs w:val="32"/>
        </w:rPr>
        <w:t>全国期刊学术影响力复合影响因子2.4以上加1.5分、2.0以上加1分。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（三）重庆行政编辑部工作加分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组织时政热点专栏加1分/个，累计不超过2分。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刊发市管领导正职文章0.5分/篇，累计不超过1分。</w:t>
      </w: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3．</w:t>
      </w:r>
      <w:r>
        <w:rPr>
          <w:rFonts w:eastAsia="方正仿宋_GBK"/>
          <w:color w:val="000000"/>
          <w:sz w:val="32"/>
          <w:szCs w:val="32"/>
        </w:rPr>
        <w:t>省部级及以上会议采访1分/次，累计不超过2分。</w:t>
      </w:r>
    </w:p>
    <w:p>
      <w:pPr>
        <w:spacing w:line="594" w:lineRule="exact"/>
        <w:ind w:firstLine="640" w:firstLineChars="200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（四）通用减分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各编辑部在一个年度的考核周期内出现以下情况的予以减分。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</w:t>
      </w:r>
      <w:r>
        <w:rPr>
          <w:rFonts w:eastAsia="方正仿宋_GBK"/>
          <w:color w:val="000000"/>
          <w:sz w:val="32"/>
          <w:szCs w:val="32"/>
        </w:rPr>
        <w:t>全市期刊综合质量考核结果编辑质量差错率超过万分之2的，扣4分。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</w:t>
      </w:r>
      <w:r>
        <w:rPr>
          <w:rFonts w:eastAsia="方正仿宋_GBK"/>
          <w:color w:val="000000"/>
          <w:sz w:val="32"/>
          <w:szCs w:val="32"/>
        </w:rPr>
        <w:t>违反意识形态工作责任制的，扣6分。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第五条  考核程序</w:t>
      </w:r>
    </w:p>
    <w:p>
      <w:pPr>
        <w:spacing w:line="594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科研处根据年度编辑任务目标工作情况，计算出编辑职能绩效工作考核得分，并将考核结果经过计算后报教务处，纳入教学编辑片一同排名。 </w:t>
      </w:r>
    </w:p>
    <w:p>
      <w:pPr>
        <w:spacing w:line="594" w:lineRule="exact"/>
        <w:ind w:firstLine="640" w:firstLineChars="200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第六条  附则</w:t>
      </w:r>
    </w:p>
    <w:p>
      <w:pPr>
        <w:spacing w:line="594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本细则自印发之日起施行，由科研处负责解释。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E24A3"/>
    <w:rsid w:val="624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2021-06-18T06:46:00Z</dcterms:created>
  <dc:creator>北国风光</dc:creator>
  <cp:lastModifiedBy>北国风光</cp:lastModifiedBy>
  <dcterms:modified xsi:type="dcterms:W3CDTF">2021-06-18T06:47:34Z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F80F38491F9C4136A0D211FF608D9297</vt:lpwstr>
  </property>
  <property fmtid="{D5CDD505-2E9C-101B-9397-08002B2CF9AE}" pid="4" name="KSOSaveFontToCloudKey">
    <vt:lpwstr>460704548_btnclosed</vt:lpwstr>
  </property>
</Properties>
</file>