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方正黑体_GBK" w:cs="Times New Roman"/>
          <w:b w:val="0"/>
          <w:bCs/>
          <w:color w:val="000000"/>
          <w:sz w:val="32"/>
          <w:szCs w:val="32"/>
          <w:lang w:val="en-US" w:eastAsia="zh-CN"/>
        </w:rPr>
      </w:pPr>
      <w:r>
        <w:rPr>
          <w:rFonts w:hint="default" w:ascii="Times New Roman" w:hAnsi="Times New Roman" w:eastAsia="方正黑体_GBK" w:cs="Times New Roman"/>
          <w:b w:val="0"/>
          <w:bCs/>
          <w:color w:val="000000"/>
          <w:sz w:val="32"/>
          <w:szCs w:val="32"/>
          <w:lang w:val="en-US" w:eastAsia="zh-CN"/>
        </w:rPr>
        <w:t>附件3</w:t>
      </w:r>
    </w:p>
    <w:p>
      <w:pPr>
        <w:keepNext w:val="0"/>
        <w:keepLines w:val="0"/>
        <w:pageBreakBefore w:val="0"/>
        <w:widowControl w:val="0"/>
        <w:kinsoku/>
        <w:wordWrap/>
        <w:overflowPunct/>
        <w:topLinePunct w:val="0"/>
        <w:autoSpaceDE/>
        <w:autoSpaceDN/>
        <w:bidi w:val="0"/>
        <w:spacing w:line="594" w:lineRule="exact"/>
        <w:textAlignment w:val="auto"/>
        <w:rPr>
          <w:rFonts w:hint="default" w:ascii="Times New Roman" w:hAnsi="Times New Roman" w:eastAsia="方正黑体_GBK" w:cs="Times New Roman"/>
          <w:lang w:val="en-US" w:eastAsia="zh-CN"/>
        </w:rPr>
      </w:pPr>
    </w:p>
    <w:p>
      <w:pPr>
        <w:spacing w:line="594" w:lineRule="exact"/>
        <w:jc w:val="center"/>
        <w:rPr>
          <w:rFonts w:hint="default" w:ascii="Times New Roman" w:hAnsi="Times New Roman" w:eastAsia="方正小标宋_GBK" w:cs="Times New Roman"/>
          <w:b/>
          <w:spacing w:val="-6"/>
          <w:sz w:val="44"/>
          <w:szCs w:val="44"/>
        </w:rPr>
      </w:pPr>
      <w:bookmarkStart w:id="0" w:name="_GoBack"/>
      <w:r>
        <w:rPr>
          <w:rFonts w:hint="default" w:ascii="Times New Roman" w:hAnsi="Times New Roman" w:eastAsia="方正小标宋_GBK" w:cs="Times New Roman"/>
          <w:b/>
          <w:spacing w:val="-6"/>
          <w:sz w:val="44"/>
          <w:szCs w:val="44"/>
        </w:rPr>
        <w:t>2019年科研工作目标考核实施细则</w:t>
      </w:r>
    </w:p>
    <w:bookmarkEnd w:id="0"/>
    <w:p>
      <w:pPr>
        <w:spacing w:line="594" w:lineRule="exact"/>
        <w:rPr>
          <w:rFonts w:hint="default" w:ascii="Times New Roman" w:hAnsi="Times New Roman" w:eastAsia="方正仿宋_GBK" w:cs="Times New Roman"/>
          <w:b/>
          <w:sz w:val="32"/>
          <w:szCs w:val="32"/>
        </w:rPr>
      </w:pPr>
    </w:p>
    <w:p>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为进一步落实教研部门科研工作主体责任，完善科研业绩目标考核机制，推动校（院）科研增量提质，根据</w:t>
      </w:r>
      <w:r>
        <w:rPr>
          <w:rFonts w:hint="default" w:ascii="Times New Roman" w:hAnsi="Times New Roman" w:eastAsia="方正仿宋_GBK" w:cs="Times New Roman"/>
          <w:color w:val="000000"/>
          <w:sz w:val="32"/>
          <w:szCs w:val="32"/>
        </w:rPr>
        <w:t>校（院）《2019年目标管理绩效考核方案》</w:t>
      </w:r>
      <w:r>
        <w:rPr>
          <w:rFonts w:hint="default" w:ascii="Times New Roman" w:hAnsi="Times New Roman" w:eastAsia="方正仿宋_GBK" w:cs="Times New Roman"/>
          <w:sz w:val="32"/>
          <w:szCs w:val="32"/>
        </w:rPr>
        <w:t>，制定本细则。</w:t>
      </w:r>
    </w:p>
    <w:p>
      <w:pPr>
        <w:spacing w:line="594"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第一条  考核对象</w:t>
      </w:r>
    </w:p>
    <w:p>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马克思主义学院、哲学教研部、经济学教研部、科学社会主义教研部、中共党史教研部、党的建设教研部、公共管理学教研部、法学教研部、经济管理教研部、社会和文化教研部、决策咨询中心、应急管理培训中心、探索编辑部、重庆行政编辑部等14个教研部门。</w:t>
      </w:r>
    </w:p>
    <w:p>
      <w:pPr>
        <w:spacing w:line="594"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第二条  考核原则</w:t>
      </w:r>
    </w:p>
    <w:p>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对教研部门年度科研业绩进行考核，以加强教研部门科研组织和管理，鼓励出精品出人才，支撑校（院）学科建设和学位点建设，促进科研强校为原则。</w:t>
      </w:r>
    </w:p>
    <w:p>
      <w:pPr>
        <w:spacing w:line="594"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第三条  考核方式</w:t>
      </w:r>
    </w:p>
    <w:p>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突出结果导向和成效导向，对各教研部门科研目标完成情况和科研工作成效按照年终核算的方式进行。</w:t>
      </w:r>
    </w:p>
    <w:p>
      <w:pPr>
        <w:spacing w:line="594"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第四条  考核计分办法</w:t>
      </w:r>
    </w:p>
    <w:p>
      <w:pPr>
        <w:spacing w:line="594"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仿宋_GBK" w:cs="Times New Roman"/>
          <w:sz w:val="32"/>
          <w:szCs w:val="32"/>
        </w:rPr>
        <w:t>科研工作目标考核得分=基础分+科研工作加减分。基础分为40分，加减分按照第五条、第六条的项目计分。同一项工作如符合两个以上加分或减分情形的，就高执行一项加分或减分。为避免部门之间差距过大，所有部门最后折算后的加分或减分不超过5分。</w:t>
      </w:r>
    </w:p>
    <w:p>
      <w:pPr>
        <w:spacing w:line="594"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第五条  加分项目及标准</w:t>
      </w:r>
    </w:p>
    <w:p>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科研业绩工作加分按照科研工作加分项累加除以教研部总人数的方式加分。科研工作加分项：</w:t>
      </w:r>
    </w:p>
    <w:p>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1．主办1次校级及以上学术活动加5分，累计不超过10分；</w:t>
      </w:r>
    </w:p>
    <w:p>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2．组织教研人员参加学校举办的有关学术交流活动和资政活动，参与发言加1分/人次，参与加0.5分/人次，累计不超过5分；</w:t>
      </w:r>
    </w:p>
    <w:p>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3．组织教研人员申报国家课题加0.5分/项；</w:t>
      </w:r>
    </w:p>
    <w:p>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4．教研人员主持国家课题获得优秀结项等次加10分/项，获得良好结项等次加5分/项；</w:t>
      </w:r>
    </w:p>
    <w:p>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5．教研人员主持省部级项目获优秀结项等次加5分/项；</w:t>
      </w:r>
    </w:p>
    <w:p>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6．教研人员为市委中心组学习或市政府常务会作专题讲座加5分/次；</w:t>
      </w:r>
    </w:p>
    <w:p>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7．教研人员接受中央媒体采访加5分/次；接受重庆市主要媒体采访加2分/次；</w:t>
      </w:r>
    </w:p>
    <w:p>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8．教研人员在《人民日报》《光明日报》《经济日报》理论版刊发1500字以上理论文章加5分/篇；</w:t>
      </w:r>
    </w:p>
    <w:p>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9．教研部门超额完成学校下达的C刊任务加5分/篇；</w:t>
      </w:r>
    </w:p>
    <w:p>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10．教研人员为第一作者或主持人的成果获得重庆市政府社科成果奖、发展研究奖一等奖加10分/项、二等奖加8分/项、三等奖加5分/项；</w:t>
      </w:r>
    </w:p>
    <w:p>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11．教研人员为第一作者或主持人的成果获得中央党校（国家行政学院）优秀成果奖一等奖加8分/项、二等奖加6分/项、三等奖加4分/项；</w:t>
      </w:r>
    </w:p>
    <w:p>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12．教研人员为第一作者或主持人的决策咨询报告获得国家级正职签批加10分/篇，获得国家级副职签批加7分/篇，获得省部级正职签批加5分/篇，获得省部级正职签批加3分/篇。决策咨询中心不参与此项加分。</w:t>
      </w:r>
    </w:p>
    <w:p>
      <w:pPr>
        <w:spacing w:line="594"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第六条  减分项目及标准</w:t>
      </w:r>
    </w:p>
    <w:p>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教研部门科研业绩扣分按照科研工作扣分项累加除以教研部门总人数的方式扣减。科研工作扣分项：</w:t>
      </w:r>
    </w:p>
    <w:p>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1．教研人员没有完成对应岗级的科研目标任务扣5分/人；</w:t>
      </w:r>
    </w:p>
    <w:p>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2．出现学术不端行为扣10分/人次；</w:t>
      </w:r>
    </w:p>
    <w:p>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研究课题每延期结项1年（不足1年按1年算），国家课题扣2分/项、省部级课题扣1分/项、校级课题扣0.5分/项，以此类推；研究课题被撤项或中止，国家课题分别扣10分/项与8分/项、省部级课题分别扣8分/项与6分/项、校级课题分别扣6分/项与4分/项；</w:t>
      </w:r>
    </w:p>
    <w:p>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教研部门未完成当年度科研目标任务，按照教研部门未完成的目标任务的比例扣分（如，完成了科研目标任务的80%，则扣20%×40=8分，以此类推。其中，C刊和核心期刊可相互抵扣，1篇C刊=3篇核心期刊）。此扣分项所扣分值不除以教研部门总人数。</w:t>
      </w:r>
    </w:p>
    <w:p>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各教研部门的加减分分别求和排序，其中加减分值绝对值最大的折算为加减分5分，其他按比例折算。然后用折算后的加减分值计算出各教研部门总分，其中分数最高的教研部门科研工作目标考核得分为45分，按比例折算出其他教研部门科研工作目标考核得分。</w:t>
      </w:r>
    </w:p>
    <w:p>
      <w:pPr>
        <w:spacing w:line="594"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第七条  考核程序</w:t>
      </w:r>
    </w:p>
    <w:p>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各教研部门科研工作目标考核得分采取年终核算的方式计分。由科研处根据每年科研目标任务完成情况加减分后计算出科研工作目标考核得分。</w:t>
      </w:r>
    </w:p>
    <w:p>
      <w:pPr>
        <w:spacing w:line="594"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第八条  考核结果运用</w:t>
      </w:r>
    </w:p>
    <w:p>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年度考核完成后，按部门得分高低依次排名，并将考核结果报目标管理办公室。</w:t>
      </w:r>
    </w:p>
    <w:p>
      <w:pPr>
        <w:spacing w:line="594"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第九条  附则</w:t>
      </w:r>
    </w:p>
    <w:p>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w:t>
      </w:r>
      <w:r>
        <w:rPr>
          <w:rFonts w:hint="default" w:ascii="Times New Roman" w:hAnsi="Times New Roman" w:eastAsia="方正仿宋_GBK" w:cs="Times New Roman"/>
          <w:sz w:val="32"/>
          <w:szCs w:val="32"/>
          <w:lang w:eastAsia="zh-CN"/>
        </w:rPr>
        <w:t>细则</w:t>
      </w:r>
      <w:r>
        <w:rPr>
          <w:rFonts w:hint="default" w:ascii="Times New Roman" w:hAnsi="Times New Roman" w:eastAsia="方正仿宋_GBK" w:cs="Times New Roman"/>
          <w:sz w:val="32"/>
          <w:szCs w:val="32"/>
        </w:rPr>
        <w:t>自印发之日起施行，由科研处负责解释。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Arial Unicode MS"/>
    <w:panose1 w:val="03000509000000000000"/>
    <w:charset w:val="86"/>
    <w:family w:val="script"/>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45643C"/>
    <w:rsid w:val="13456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2019-09-10T02:54:00Z</dcterms:created>
  <dc:creator>北国风光</dc:creator>
  <cp:lastModifiedBy>北国风光</cp:lastModifiedBy>
  <dcterms:modified xsi:type="dcterms:W3CDTF">2019-09-10T02:56:04Z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